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1FD4FD1B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E30AA" w:rsidRPr="002E30AA">
        <w:rPr>
          <w:rFonts w:eastAsia="Times New Roman"/>
          <w:b/>
          <w:lang w:bidi="en-US"/>
        </w:rPr>
        <w:t>Obnova vedení vzduchotechniky kuchyňského provozu Nemocnice Tišnov, p. o.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79F6D" w14:textId="77777777" w:rsidR="004C5B19" w:rsidRDefault="004C5B19" w:rsidP="00E452E4">
      <w:pPr>
        <w:spacing w:after="0" w:line="240" w:lineRule="auto"/>
      </w:pPr>
      <w:r>
        <w:separator/>
      </w:r>
    </w:p>
  </w:endnote>
  <w:endnote w:type="continuationSeparator" w:id="0">
    <w:p w14:paraId="260458BD" w14:textId="77777777" w:rsidR="004C5B19" w:rsidRDefault="004C5B19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4FD74B80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</w:t>
    </w:r>
    <w:r w:rsidR="00472BC1" w:rsidRPr="00472BC1">
      <w:t xml:space="preserve"> </w:t>
    </w:r>
    <w:r w:rsidR="00A2402E" w:rsidRPr="00A2402E">
      <w:rPr>
        <w:rFonts w:ascii="Calibri" w:hAnsi="Calibri"/>
        <w:b/>
        <w:bCs/>
        <w:sz w:val="22"/>
      </w:rPr>
      <w:t>NTOVKP0825</w:t>
    </w:r>
    <w:r w:rsidR="00472BC1">
      <w:rPr>
        <w:rFonts w:ascii="Calibri" w:hAnsi="Calibri"/>
        <w:sz w:val="22"/>
      </w:rPr>
      <w:t xml:space="preserve"> </w:t>
    </w:r>
    <w:r w:rsidRPr="00E452E4">
      <w:rPr>
        <w:rFonts w:ascii="Calibri" w:hAnsi="Calibri"/>
        <w:sz w:val="22"/>
      </w:rPr>
      <w:t xml:space="preserve">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DBFD5" w14:textId="77777777" w:rsidR="004C5B19" w:rsidRDefault="004C5B19" w:rsidP="00E452E4">
      <w:pPr>
        <w:spacing w:after="0" w:line="240" w:lineRule="auto"/>
      </w:pPr>
      <w:r>
        <w:separator/>
      </w:r>
    </w:p>
  </w:footnote>
  <w:footnote w:type="continuationSeparator" w:id="0">
    <w:p w14:paraId="71ADAA3E" w14:textId="77777777" w:rsidR="004C5B19" w:rsidRDefault="004C5B19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0396"/>
    <w:rsid w:val="000836E4"/>
    <w:rsid w:val="00116915"/>
    <w:rsid w:val="00165C9C"/>
    <w:rsid w:val="001965CF"/>
    <w:rsid w:val="002814B0"/>
    <w:rsid w:val="00281695"/>
    <w:rsid w:val="002870F1"/>
    <w:rsid w:val="002E30AA"/>
    <w:rsid w:val="00367395"/>
    <w:rsid w:val="003A4A92"/>
    <w:rsid w:val="003D5600"/>
    <w:rsid w:val="003E51CF"/>
    <w:rsid w:val="00413BDA"/>
    <w:rsid w:val="00472BC1"/>
    <w:rsid w:val="004C5B19"/>
    <w:rsid w:val="00594E40"/>
    <w:rsid w:val="00605AD2"/>
    <w:rsid w:val="006358DC"/>
    <w:rsid w:val="00675995"/>
    <w:rsid w:val="006B3567"/>
    <w:rsid w:val="007A0B30"/>
    <w:rsid w:val="007C2B54"/>
    <w:rsid w:val="008476A0"/>
    <w:rsid w:val="0086404B"/>
    <w:rsid w:val="0094155E"/>
    <w:rsid w:val="0097510D"/>
    <w:rsid w:val="009978C8"/>
    <w:rsid w:val="00A2402E"/>
    <w:rsid w:val="00A26DA2"/>
    <w:rsid w:val="00A81E86"/>
    <w:rsid w:val="00B766B4"/>
    <w:rsid w:val="00BF5161"/>
    <w:rsid w:val="00C018E9"/>
    <w:rsid w:val="00C237D7"/>
    <w:rsid w:val="00D30D41"/>
    <w:rsid w:val="00D76776"/>
    <w:rsid w:val="00DA4A2D"/>
    <w:rsid w:val="00DC571A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2025-09-02T11:12:00Z</dcterms:modified>
</cp:coreProperties>
</file>